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8460B6" w:rsidRDefault="008460B6" w:rsidP="008460B6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</w:p>
    <w:p w:rsidR="008460B6" w:rsidRPr="00345486" w:rsidRDefault="008460B6" w:rsidP="008460B6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  <w:r w:rsidRPr="00345486">
        <w:rPr>
          <w:rFonts w:ascii="Verdana" w:hAnsi="Verdana"/>
          <w:b/>
          <w:i/>
          <w:color w:val="auto"/>
          <w:szCs w:val="16"/>
        </w:rPr>
        <w:t>ΠΑΡΑΡΤΗΜΑ Β</w:t>
      </w:r>
    </w:p>
    <w:p w:rsidR="008460B6" w:rsidRDefault="008460B6" w:rsidP="008460B6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 w:rsidRPr="00345486">
        <w:rPr>
          <w:rFonts w:ascii="Verdana" w:hAnsi="Verdana"/>
          <w:b/>
          <w:i/>
          <w:sz w:val="20"/>
          <w:szCs w:val="22"/>
        </w:rPr>
        <w:t>ΠΙΝΑΚΑΣ ΣΥΜΜΟΡΦΩΣΗΣ ΓΙΑ ΤΟ ΕΡΓΟ :</w:t>
      </w:r>
    </w:p>
    <w:p w:rsidR="008460B6" w:rsidRDefault="008460B6" w:rsidP="008460B6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</w:p>
    <w:p w:rsidR="008460B6" w:rsidRPr="001949F7" w:rsidRDefault="008460B6" w:rsidP="008460B6">
      <w:pPr>
        <w:pStyle w:val="Default"/>
        <w:spacing w:line="360" w:lineRule="auto"/>
        <w:jc w:val="center"/>
        <w:rPr>
          <w:rFonts w:ascii="Verdana" w:hAnsi="Verdana"/>
          <w:b/>
          <w:i/>
        </w:rPr>
      </w:pPr>
      <w:r w:rsidRPr="001949F7">
        <w:rPr>
          <w:rFonts w:ascii="Verdana" w:hAnsi="Verdana"/>
          <w:b/>
          <w:i/>
        </w:rPr>
        <w:t xml:space="preserve">«Έλεγχος και ρύθμιση του δικτύου Φ.Α. πίεσης 1 </w:t>
      </w:r>
      <w:proofErr w:type="spellStart"/>
      <w:r w:rsidRPr="001949F7">
        <w:rPr>
          <w:rFonts w:ascii="Verdana" w:hAnsi="Verdana"/>
          <w:b/>
          <w:i/>
        </w:rPr>
        <w:t>bar</w:t>
      </w:r>
      <w:proofErr w:type="spellEnd"/>
      <w:r w:rsidRPr="001949F7">
        <w:rPr>
          <w:rFonts w:ascii="Verdana" w:hAnsi="Verdana"/>
          <w:b/>
          <w:i/>
        </w:rPr>
        <w:t xml:space="preserve"> και όλων των λεβητοστασίων Φ.Α. στο Γ.Π.Α.»</w:t>
      </w:r>
    </w:p>
    <w:p w:rsidR="008460B6" w:rsidRPr="00345486" w:rsidRDefault="008460B6" w:rsidP="008460B6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>Κάθε υποψήφιος ανάδοχος συμπληρώνει</w:t>
      </w:r>
      <w:r>
        <w:rPr>
          <w:rFonts w:ascii="Verdana" w:hAnsi="Verdana" w:cs="Arial"/>
          <w:i/>
          <w:sz w:val="20"/>
          <w:szCs w:val="20"/>
        </w:rPr>
        <w:t xml:space="preserve"> υποχρεωτικά </w:t>
      </w:r>
      <w:r w:rsidRPr="006D30E1">
        <w:rPr>
          <w:rFonts w:ascii="Verdana" w:hAnsi="Verdana" w:cs="Arial"/>
          <w:i/>
          <w:sz w:val="20"/>
          <w:szCs w:val="20"/>
        </w:rPr>
        <w:t xml:space="preserve">και επί ποινή αποκλεισμού: </w:t>
      </w:r>
      <w:r w:rsidRPr="00345486">
        <w:rPr>
          <w:rFonts w:ascii="Verdana" w:hAnsi="Verdana" w:cs="Arial"/>
          <w:i/>
          <w:sz w:val="20"/>
          <w:szCs w:val="20"/>
        </w:rPr>
        <w:t xml:space="preserve">τον παρακάτω Πίνακα Συμμόρφωσης με την απόλυτη ευθύνη της ακρίβειας των δεδομένων. </w:t>
      </w:r>
    </w:p>
    <w:p w:rsidR="008460B6" w:rsidRPr="00345486" w:rsidRDefault="008460B6" w:rsidP="008460B6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Ο υποψήφιος υποχρεούται να απαντήσει σε όλες τις ερωτήσεις του Πίνακα Συμμόρφωσης. Τα βασικά χαρακτηριστικά περιγράφονται στη στήλη «ΠΡΟΔΙΑΓΡΑΦΗ», ενώ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«ΝΑΙ». Η μη ικανοποίηση των κριτηρίων αυτών δύναται κατά την κρίση της Αναθέτουσας Αρχής να επιφέρει την απόρριψη της προσφοράς. </w:t>
      </w:r>
    </w:p>
    <w:p w:rsidR="008460B6" w:rsidRPr="00345486" w:rsidRDefault="008460B6" w:rsidP="008460B6">
      <w:pPr>
        <w:pStyle w:val="Default"/>
        <w:spacing w:before="120" w:after="120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>Ειδικότερα, η στήλη «ΑΠΑΝΤΗΣΗ» θα συμπληρωθεί υποχρεωτικά από τους υποψηφίους είτε με συγκεκριμενοποίηση των επιμέρους στοιχείων που ζητά το κριτήριο, είτε με αριθμητική τιμή όπου αυτή απαιτείται. Η χρήση της λέξεως «ΝΑΙ» ή άλλης μονολεκτικής απάντησης, μπορεί να γίνει μόνο αν στη στήλη «ΑΠΑΝΤΗΣΗ» της συγκεκριμένης γραμμής γίνεται χρήση της και εάν δικαιολογείται η χρήση της. Σε αντίθετη περίπτωση, θα συμπληρωθεί με την</w:t>
      </w:r>
      <w:r w:rsidRPr="00345486">
        <w:rPr>
          <w:rFonts w:ascii="Verdana" w:eastAsia="Times New Roman" w:hAnsi="Verdana"/>
          <w:i/>
          <w:color w:val="auto"/>
          <w:sz w:val="20"/>
          <w:szCs w:val="20"/>
        </w:rPr>
        <w:t xml:space="preserve"> ένδειξη «ΟΧΙ». Σε περίπτωση που μένει κενή θεωρείται ότι η απάντηση είναι «ΟΧΙ». </w:t>
      </w:r>
    </w:p>
    <w:p w:rsidR="008460B6" w:rsidRDefault="008460B6" w:rsidP="008460B6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Τέλος, στη στήλη «ΠΑΡΑΠΟΜΠΗ ΤΕΚΜΗΡΙΩΣΗ»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«ΑΠΑΝΤΗΣΗ».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εγχειριδίου, της σελίδας κ.λπ. </w:t>
      </w:r>
    </w:p>
    <w:p w:rsidR="008460B6" w:rsidRPr="00345486" w:rsidRDefault="008460B6" w:rsidP="008460B6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851"/>
        <w:gridCol w:w="987"/>
        <w:gridCol w:w="1818"/>
      </w:tblGrid>
      <w:tr w:rsidR="008460B6" w:rsidRPr="00582B2F" w:rsidTr="008D00AB">
        <w:tc>
          <w:tcPr>
            <w:tcW w:w="675" w:type="dxa"/>
          </w:tcPr>
          <w:p w:rsidR="008460B6" w:rsidRPr="003312FD" w:rsidRDefault="008460B6" w:rsidP="008D00AB">
            <w:pPr>
              <w:pStyle w:val="Default"/>
              <w:widowControl w:val="0"/>
              <w:spacing w:before="120" w:after="120"/>
              <w:jc w:val="both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3312FD">
              <w:rPr>
                <w:rFonts w:ascii="Verdana" w:hAnsi="Verdana" w:cs="Arial"/>
                <w:b/>
                <w:color w:val="auto"/>
                <w:sz w:val="16"/>
                <w:szCs w:val="20"/>
              </w:rPr>
              <w:t>Α/Α</w:t>
            </w:r>
          </w:p>
        </w:tc>
        <w:tc>
          <w:tcPr>
            <w:tcW w:w="5245" w:type="dxa"/>
          </w:tcPr>
          <w:p w:rsidR="008460B6" w:rsidRPr="003312FD" w:rsidRDefault="008460B6" w:rsidP="008D00AB">
            <w:pPr>
              <w:pStyle w:val="Default"/>
              <w:widowControl w:val="0"/>
              <w:spacing w:before="120" w:after="120"/>
              <w:jc w:val="both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3312FD">
              <w:rPr>
                <w:rFonts w:ascii="Verdana" w:hAnsi="Verdana" w:cs="Arial"/>
                <w:b/>
                <w:color w:val="auto"/>
                <w:sz w:val="18"/>
                <w:szCs w:val="20"/>
              </w:rPr>
              <w:t>ΠΡΟΔΙΑΓΡΑΦΗ</w:t>
            </w:r>
          </w:p>
        </w:tc>
        <w:tc>
          <w:tcPr>
            <w:tcW w:w="851" w:type="dxa"/>
          </w:tcPr>
          <w:p w:rsidR="008460B6" w:rsidRPr="003312FD" w:rsidRDefault="008460B6" w:rsidP="008D00AB">
            <w:pPr>
              <w:pStyle w:val="Default"/>
              <w:widowControl w:val="0"/>
              <w:spacing w:before="120" w:after="120"/>
              <w:jc w:val="center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3312FD">
              <w:rPr>
                <w:rFonts w:ascii="Verdana" w:hAnsi="Verdana" w:cs="Arial"/>
                <w:b/>
                <w:color w:val="auto"/>
                <w:sz w:val="18"/>
                <w:szCs w:val="20"/>
              </w:rPr>
              <w:t>ΑΠΑΙ-ΤΗΣΗ</w:t>
            </w:r>
          </w:p>
        </w:tc>
        <w:tc>
          <w:tcPr>
            <w:tcW w:w="987" w:type="dxa"/>
          </w:tcPr>
          <w:p w:rsidR="008460B6" w:rsidRPr="00582B2F" w:rsidRDefault="008460B6" w:rsidP="008D00AB">
            <w:pPr>
              <w:pStyle w:val="Default"/>
              <w:widowControl w:val="0"/>
              <w:spacing w:before="120" w:after="120"/>
              <w:rPr>
                <w:rFonts w:ascii="Verdana" w:hAnsi="Verdana" w:cs="Arial"/>
                <w:b/>
                <w:sz w:val="18"/>
                <w:szCs w:val="20"/>
              </w:rPr>
            </w:pPr>
            <w:r w:rsidRPr="00582B2F">
              <w:rPr>
                <w:rFonts w:ascii="Verdana" w:hAnsi="Verdana" w:cs="Arial"/>
                <w:b/>
                <w:sz w:val="18"/>
                <w:szCs w:val="20"/>
              </w:rPr>
              <w:t>ΑΠΑΝ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-</w:t>
            </w:r>
            <w:r w:rsidRPr="00582B2F">
              <w:rPr>
                <w:rFonts w:ascii="Verdana" w:hAnsi="Verdana" w:cs="Arial"/>
                <w:b/>
                <w:sz w:val="18"/>
                <w:szCs w:val="20"/>
              </w:rPr>
              <w:t>ΤΗΣΗ</w:t>
            </w:r>
          </w:p>
        </w:tc>
        <w:tc>
          <w:tcPr>
            <w:tcW w:w="1818" w:type="dxa"/>
          </w:tcPr>
          <w:p w:rsidR="008460B6" w:rsidRPr="00582B2F" w:rsidRDefault="008460B6" w:rsidP="008D00AB">
            <w:pPr>
              <w:pStyle w:val="Default"/>
              <w:widowControl w:val="0"/>
              <w:spacing w:before="120" w:after="120"/>
              <w:rPr>
                <w:rFonts w:ascii="Verdana" w:hAnsi="Verdana" w:cs="Arial"/>
                <w:b/>
                <w:sz w:val="18"/>
                <w:szCs w:val="20"/>
              </w:rPr>
            </w:pPr>
            <w:r w:rsidRPr="00582B2F">
              <w:rPr>
                <w:rFonts w:ascii="Verdana" w:hAnsi="Verdana" w:cs="Arial"/>
                <w:b/>
                <w:sz w:val="18"/>
                <w:szCs w:val="20"/>
              </w:rPr>
              <w:t>ΠΑΡΑΠΟΜΠΗ ΤΕΚΜΗΡΙΩΣΗΣ</w:t>
            </w:r>
          </w:p>
        </w:tc>
      </w:tr>
      <w:tr w:rsidR="008460B6" w:rsidRPr="00041378" w:rsidTr="008D00AB">
        <w:tc>
          <w:tcPr>
            <w:tcW w:w="675" w:type="dxa"/>
          </w:tcPr>
          <w:p w:rsidR="008460B6" w:rsidRPr="00BB04DD" w:rsidRDefault="008460B6" w:rsidP="008D00AB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  <w:lang w:val="en-US"/>
              </w:rPr>
            </w:pPr>
            <w:r w:rsidRPr="00BB04DD">
              <w:rPr>
                <w:rFonts w:ascii="Verdana" w:hAnsi="Verdana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8460B6" w:rsidRPr="001949F7" w:rsidRDefault="008460B6" w:rsidP="008D00A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1949F7">
              <w:rPr>
                <w:rFonts w:ascii="Verdana" w:hAnsi="Verdana"/>
                <w:i/>
                <w:sz w:val="20"/>
              </w:rPr>
              <w:t xml:space="preserve">Έλεγχος όλων των φρεατίων (καλή λειτουργία αποφρακτικών διατάξεων και των </w:t>
            </w:r>
            <w:proofErr w:type="spellStart"/>
            <w:r w:rsidRPr="001949F7">
              <w:rPr>
                <w:rFonts w:ascii="Verdana" w:hAnsi="Verdana"/>
                <w:i/>
                <w:sz w:val="20"/>
              </w:rPr>
              <w:t>εξαεριστικών</w:t>
            </w:r>
            <w:proofErr w:type="spellEnd"/>
            <w:r w:rsidRPr="001949F7">
              <w:rPr>
                <w:rFonts w:ascii="Verdana" w:hAnsi="Verdana"/>
                <w:i/>
                <w:sz w:val="20"/>
              </w:rPr>
              <w:t xml:space="preserve"> του υπόγειου δικτύου).</w:t>
            </w:r>
          </w:p>
        </w:tc>
        <w:tc>
          <w:tcPr>
            <w:tcW w:w="851" w:type="dxa"/>
            <w:vAlign w:val="center"/>
          </w:tcPr>
          <w:p w:rsidR="008460B6" w:rsidRPr="003312FD" w:rsidRDefault="008460B6" w:rsidP="008D00AB">
            <w:pPr>
              <w:pStyle w:val="Default"/>
              <w:widowControl w:val="0"/>
              <w:spacing w:before="120" w:after="120" w:line="360" w:lineRule="auto"/>
              <w:ind w:firstLine="284"/>
              <w:jc w:val="center"/>
              <w:rPr>
                <w:rFonts w:ascii="Verdana" w:hAnsi="Verdana" w:cs="Arial"/>
                <w:i/>
                <w:color w:val="auto"/>
                <w:sz w:val="18"/>
                <w:szCs w:val="20"/>
              </w:rPr>
            </w:pPr>
            <w:r w:rsidRPr="003312FD">
              <w:rPr>
                <w:rFonts w:ascii="Verdana" w:hAnsi="Verdana" w:cs="Arial"/>
                <w:i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987" w:type="dxa"/>
          </w:tcPr>
          <w:p w:rsidR="008460B6" w:rsidRPr="00041378" w:rsidRDefault="008460B6" w:rsidP="008D00AB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8460B6" w:rsidRPr="00041378" w:rsidRDefault="008460B6" w:rsidP="008D00AB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</w:rPr>
            </w:pPr>
          </w:p>
        </w:tc>
      </w:tr>
      <w:tr w:rsidR="008460B6" w:rsidRPr="00041378" w:rsidTr="008D00AB">
        <w:tc>
          <w:tcPr>
            <w:tcW w:w="675" w:type="dxa"/>
          </w:tcPr>
          <w:p w:rsidR="008460B6" w:rsidRPr="00BB04DD" w:rsidRDefault="008460B6" w:rsidP="008D00AB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  <w:lang w:val="en-US"/>
              </w:rPr>
            </w:pPr>
            <w:r w:rsidRPr="00BB04DD">
              <w:rPr>
                <w:rFonts w:ascii="Verdana" w:hAnsi="Verdana" w:cs="Arial"/>
                <w:i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5245" w:type="dxa"/>
          </w:tcPr>
          <w:p w:rsidR="008460B6" w:rsidRPr="001949F7" w:rsidRDefault="008460B6" w:rsidP="008D00AB">
            <w:pPr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1949F7">
              <w:rPr>
                <w:rFonts w:ascii="Verdana" w:hAnsi="Verdana"/>
                <w:i/>
                <w:sz w:val="20"/>
              </w:rPr>
              <w:t>Έλεγχος διαφυγής Φυσικού Αερίου στην όδευση των αγωγών, με φορητό ανιχνευτή φυσικού αερίου κατά μήκος του υπέργειου δικτύου, στις γραμμές αερίου (</w:t>
            </w:r>
            <w:proofErr w:type="spellStart"/>
            <w:r w:rsidRPr="001949F7">
              <w:rPr>
                <w:rFonts w:ascii="Verdana" w:hAnsi="Verdana"/>
                <w:i/>
                <w:sz w:val="20"/>
              </w:rPr>
              <w:t>gas</w:t>
            </w:r>
            <w:proofErr w:type="spellEnd"/>
            <w:r w:rsidRPr="001949F7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1949F7">
              <w:rPr>
                <w:rFonts w:ascii="Verdana" w:hAnsi="Verdana"/>
                <w:i/>
                <w:sz w:val="20"/>
              </w:rPr>
              <w:t>train</w:t>
            </w:r>
            <w:proofErr w:type="spellEnd"/>
            <w:r w:rsidRPr="001949F7">
              <w:rPr>
                <w:rFonts w:ascii="Verdana" w:hAnsi="Verdana"/>
                <w:i/>
                <w:sz w:val="20"/>
              </w:rPr>
              <w:t xml:space="preserve">) και στους σταθμούς ρύθμισης πίεσης.   </w:t>
            </w:r>
          </w:p>
        </w:tc>
        <w:tc>
          <w:tcPr>
            <w:tcW w:w="851" w:type="dxa"/>
            <w:vAlign w:val="center"/>
          </w:tcPr>
          <w:p w:rsidR="008460B6" w:rsidRPr="003312FD" w:rsidRDefault="008460B6" w:rsidP="008D00AB">
            <w:pPr>
              <w:pStyle w:val="Default"/>
              <w:widowControl w:val="0"/>
              <w:spacing w:before="120" w:after="120" w:line="360" w:lineRule="auto"/>
              <w:ind w:firstLine="284"/>
              <w:jc w:val="center"/>
              <w:rPr>
                <w:rFonts w:ascii="Verdana" w:hAnsi="Verdana" w:cs="Arial"/>
                <w:i/>
                <w:color w:val="auto"/>
                <w:sz w:val="18"/>
                <w:szCs w:val="20"/>
              </w:rPr>
            </w:pPr>
            <w:r w:rsidRPr="003312FD">
              <w:rPr>
                <w:rFonts w:ascii="Verdana" w:hAnsi="Verdana" w:cs="Arial"/>
                <w:i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987" w:type="dxa"/>
          </w:tcPr>
          <w:p w:rsidR="008460B6" w:rsidRPr="00041378" w:rsidRDefault="008460B6" w:rsidP="008D00AB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8460B6" w:rsidRPr="00041378" w:rsidRDefault="008460B6" w:rsidP="008D00AB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</w:rPr>
            </w:pPr>
          </w:p>
        </w:tc>
      </w:tr>
      <w:tr w:rsidR="008460B6" w:rsidRPr="00041378" w:rsidTr="008D00AB">
        <w:tc>
          <w:tcPr>
            <w:tcW w:w="675" w:type="dxa"/>
          </w:tcPr>
          <w:p w:rsidR="008460B6" w:rsidRPr="00BB04DD" w:rsidRDefault="008460B6" w:rsidP="008D00AB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  <w:lang w:val="en-US"/>
              </w:rPr>
            </w:pPr>
            <w:r w:rsidRPr="00BB04DD">
              <w:rPr>
                <w:rFonts w:ascii="Verdana" w:hAnsi="Verdana" w:cs="Arial"/>
                <w:i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5245" w:type="dxa"/>
          </w:tcPr>
          <w:p w:rsidR="008460B6" w:rsidRPr="001949F7" w:rsidRDefault="008460B6" w:rsidP="008D00AB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949F7">
              <w:rPr>
                <w:rFonts w:ascii="Verdana" w:hAnsi="Verdana"/>
                <w:i/>
                <w:sz w:val="20"/>
              </w:rPr>
              <w:t>Έλεγχος καλής λειτουργίας και ρύθμιση όπου απαιτείται, των σταθμών ρύθμισης πίεσης, των γραμμών αερίου (</w:t>
            </w:r>
            <w:proofErr w:type="spellStart"/>
            <w:r w:rsidRPr="001949F7">
              <w:rPr>
                <w:rFonts w:ascii="Verdana" w:hAnsi="Verdana"/>
                <w:i/>
                <w:sz w:val="20"/>
              </w:rPr>
              <w:t>gas</w:t>
            </w:r>
            <w:proofErr w:type="spellEnd"/>
            <w:r w:rsidRPr="001949F7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1949F7">
              <w:rPr>
                <w:rFonts w:ascii="Verdana" w:hAnsi="Verdana"/>
                <w:i/>
                <w:sz w:val="20"/>
              </w:rPr>
              <w:t>strains</w:t>
            </w:r>
            <w:proofErr w:type="spellEnd"/>
            <w:r w:rsidRPr="001949F7">
              <w:rPr>
                <w:rFonts w:ascii="Verdana" w:hAnsi="Verdana"/>
                <w:i/>
                <w:sz w:val="20"/>
              </w:rPr>
              <w:t xml:space="preserve">) και όλων των συστημάτων ασφαλείας εκτός της πυρανίχνευσης – πυρόσβεσης. Δηλαδή, έλεγχος στεγανότητας φλαντζών, ρυθμιστών πίεσης, αποφρακτικών βαλβίδων ασφαλείας, βαλβίδων ασφάλειας </w:t>
            </w:r>
            <w:r w:rsidRPr="001949F7">
              <w:rPr>
                <w:rFonts w:ascii="Verdana" w:hAnsi="Verdana"/>
                <w:i/>
                <w:sz w:val="20"/>
              </w:rPr>
              <w:lastRenderedPageBreak/>
              <w:t xml:space="preserve">εκτόνωσης πίεσης κ.α. </w:t>
            </w:r>
          </w:p>
        </w:tc>
        <w:tc>
          <w:tcPr>
            <w:tcW w:w="851" w:type="dxa"/>
            <w:vAlign w:val="center"/>
          </w:tcPr>
          <w:p w:rsidR="008460B6" w:rsidRPr="00BB04DD" w:rsidRDefault="008460B6" w:rsidP="008D00AB">
            <w:pPr>
              <w:widowControl w:val="0"/>
              <w:spacing w:line="360" w:lineRule="auto"/>
              <w:ind w:firstLine="284"/>
              <w:jc w:val="center"/>
              <w:rPr>
                <w:rFonts w:ascii="Verdana" w:hAnsi="Verdana"/>
                <w:i/>
                <w:szCs w:val="20"/>
              </w:rPr>
            </w:pPr>
            <w:r w:rsidRPr="00BB04DD">
              <w:rPr>
                <w:rFonts w:ascii="Verdana" w:hAnsi="Verdana" w:cs="Arial"/>
                <w:i/>
                <w:szCs w:val="20"/>
              </w:rPr>
              <w:lastRenderedPageBreak/>
              <w:t>ΝΑΙ</w:t>
            </w:r>
          </w:p>
        </w:tc>
        <w:tc>
          <w:tcPr>
            <w:tcW w:w="987" w:type="dxa"/>
          </w:tcPr>
          <w:p w:rsidR="008460B6" w:rsidRPr="00041378" w:rsidRDefault="008460B6" w:rsidP="008D00AB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8460B6" w:rsidRPr="00041378" w:rsidRDefault="008460B6" w:rsidP="008D00AB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  <w:tr w:rsidR="008460B6" w:rsidRPr="00041378" w:rsidTr="008D00AB">
        <w:tc>
          <w:tcPr>
            <w:tcW w:w="675" w:type="dxa"/>
          </w:tcPr>
          <w:p w:rsidR="008460B6" w:rsidRPr="00BB04DD" w:rsidRDefault="008460B6" w:rsidP="008D00AB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  <w:lang w:val="en-US"/>
              </w:rPr>
            </w:pPr>
            <w:r w:rsidRPr="00BB04DD">
              <w:rPr>
                <w:rFonts w:ascii="Verdana" w:hAnsi="Verdana" w:cs="Arial"/>
                <w:i/>
                <w:color w:val="auto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5245" w:type="dxa"/>
          </w:tcPr>
          <w:p w:rsidR="008460B6" w:rsidRPr="001949F7" w:rsidDel="006D30E1" w:rsidRDefault="008460B6" w:rsidP="008D00AB">
            <w:pPr>
              <w:jc w:val="both"/>
              <w:rPr>
                <w:rFonts w:ascii="Verdana" w:hAnsi="Verdana"/>
                <w:sz w:val="20"/>
                <w:szCs w:val="24"/>
                <w:highlight w:val="yellow"/>
              </w:rPr>
            </w:pPr>
            <w:r w:rsidRPr="001949F7">
              <w:rPr>
                <w:rFonts w:ascii="Verdana" w:hAnsi="Verdana"/>
                <w:i/>
                <w:sz w:val="20"/>
              </w:rPr>
              <w:t xml:space="preserve">Γενική συντήρηση καυστήρων με εκ νέου ρυθμίσεις και έκδοση για κάθε καυστήρα φύλλου ελέγχου καυσαερίων (εκτός των </w:t>
            </w:r>
            <w:proofErr w:type="spellStart"/>
            <w:r w:rsidRPr="001949F7">
              <w:rPr>
                <w:rFonts w:ascii="Verdana" w:hAnsi="Verdana"/>
                <w:i/>
                <w:sz w:val="20"/>
              </w:rPr>
              <w:t>επίτοιχων</w:t>
            </w:r>
            <w:proofErr w:type="spellEnd"/>
            <w:r w:rsidRPr="001949F7">
              <w:rPr>
                <w:rFonts w:ascii="Verdana" w:hAnsi="Verdana"/>
                <w:i/>
                <w:sz w:val="20"/>
              </w:rPr>
              <w:t xml:space="preserve"> λεβήτων). Στους </w:t>
            </w:r>
            <w:proofErr w:type="spellStart"/>
            <w:r w:rsidRPr="001949F7">
              <w:rPr>
                <w:rFonts w:ascii="Verdana" w:hAnsi="Verdana"/>
                <w:i/>
                <w:sz w:val="20"/>
              </w:rPr>
              <w:t>επίτοιχους</w:t>
            </w:r>
            <w:proofErr w:type="spellEnd"/>
            <w:r w:rsidRPr="001949F7">
              <w:rPr>
                <w:rFonts w:ascii="Verdana" w:hAnsi="Verdana"/>
                <w:i/>
                <w:sz w:val="20"/>
              </w:rPr>
              <w:t xml:space="preserve"> λέβητες η ρύθμιση θα γίνει σύμφωνα με τις οδηγίες του κατασκευαστή. Στη συντήρηση περιλαμβάνεται το άνοιγμα των καυστήρων για καθαρισμό </w:t>
            </w:r>
            <w:proofErr w:type="spellStart"/>
            <w:r w:rsidRPr="001949F7">
              <w:rPr>
                <w:rFonts w:ascii="Verdana" w:hAnsi="Verdana"/>
                <w:i/>
                <w:sz w:val="20"/>
              </w:rPr>
              <w:t>μπεκ</w:t>
            </w:r>
            <w:proofErr w:type="spellEnd"/>
            <w:r w:rsidRPr="001949F7">
              <w:rPr>
                <w:rFonts w:ascii="Verdana" w:hAnsi="Verdana"/>
                <w:i/>
                <w:sz w:val="20"/>
              </w:rPr>
              <w:t xml:space="preserve">, ακίδων, </w:t>
            </w:r>
            <w:proofErr w:type="spellStart"/>
            <w:r w:rsidRPr="001949F7">
              <w:rPr>
                <w:rFonts w:ascii="Verdana" w:hAnsi="Verdana"/>
                <w:i/>
                <w:sz w:val="20"/>
              </w:rPr>
              <w:t>φλογοκεφαλών</w:t>
            </w:r>
            <w:proofErr w:type="spellEnd"/>
            <w:r w:rsidRPr="001949F7">
              <w:rPr>
                <w:rFonts w:ascii="Verdana" w:hAnsi="Verdana"/>
                <w:i/>
                <w:sz w:val="20"/>
              </w:rPr>
              <w:t xml:space="preserve"> και </w:t>
            </w:r>
            <w:proofErr w:type="spellStart"/>
            <w:r w:rsidRPr="001949F7">
              <w:rPr>
                <w:rFonts w:ascii="Verdana" w:hAnsi="Verdana"/>
                <w:i/>
                <w:sz w:val="20"/>
              </w:rPr>
              <w:t>διασκορπιστήρων</w:t>
            </w:r>
            <w:proofErr w:type="spellEnd"/>
            <w:r w:rsidRPr="001949F7">
              <w:rPr>
                <w:rFonts w:ascii="Verdana" w:hAnsi="Verdana"/>
                <w:i/>
                <w:sz w:val="20"/>
              </w:rPr>
              <w:t xml:space="preserve">, καθαρισμός και έλεγχος των φίλτρων αερίου, καθαρισμός </w:t>
            </w:r>
            <w:proofErr w:type="spellStart"/>
            <w:r w:rsidRPr="001949F7">
              <w:rPr>
                <w:rFonts w:ascii="Verdana" w:hAnsi="Verdana"/>
                <w:i/>
                <w:sz w:val="20"/>
              </w:rPr>
              <w:t>φωτοκυττάρων</w:t>
            </w:r>
            <w:proofErr w:type="spellEnd"/>
            <w:r w:rsidRPr="001949F7">
              <w:rPr>
                <w:rFonts w:ascii="Verdana" w:hAnsi="Verdana"/>
                <w:i/>
                <w:sz w:val="20"/>
              </w:rPr>
              <w:t xml:space="preserve"> κ.α.</w:t>
            </w:r>
          </w:p>
        </w:tc>
        <w:tc>
          <w:tcPr>
            <w:tcW w:w="851" w:type="dxa"/>
          </w:tcPr>
          <w:p w:rsidR="008460B6" w:rsidRPr="00BB04DD" w:rsidRDefault="008460B6" w:rsidP="008D00AB">
            <w:pPr>
              <w:widowControl w:val="0"/>
              <w:spacing w:line="360" w:lineRule="auto"/>
              <w:ind w:firstLine="284"/>
              <w:jc w:val="center"/>
              <w:rPr>
                <w:rFonts w:ascii="Verdana" w:hAnsi="Verdana" w:cs="Arial"/>
                <w:i/>
                <w:szCs w:val="20"/>
              </w:rPr>
            </w:pPr>
            <w:r w:rsidRPr="00BB04DD">
              <w:rPr>
                <w:rFonts w:ascii="Verdana" w:hAnsi="Verdana" w:cs="Arial"/>
                <w:i/>
                <w:szCs w:val="20"/>
              </w:rPr>
              <w:t>ΝΑΙ</w:t>
            </w:r>
          </w:p>
        </w:tc>
        <w:tc>
          <w:tcPr>
            <w:tcW w:w="987" w:type="dxa"/>
          </w:tcPr>
          <w:p w:rsidR="008460B6" w:rsidRPr="00041378" w:rsidRDefault="008460B6" w:rsidP="008D00AB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8460B6" w:rsidRPr="00041378" w:rsidRDefault="008460B6" w:rsidP="008D00AB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  <w:tr w:rsidR="008460B6" w:rsidRPr="00041378" w:rsidTr="008D00AB">
        <w:tc>
          <w:tcPr>
            <w:tcW w:w="675" w:type="dxa"/>
          </w:tcPr>
          <w:p w:rsidR="008460B6" w:rsidRPr="00BB04DD" w:rsidRDefault="008460B6" w:rsidP="008D00AB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  <w:lang w:val="en-US"/>
              </w:rPr>
            </w:pPr>
            <w:r w:rsidRPr="00BB04DD">
              <w:rPr>
                <w:rFonts w:ascii="Verdana" w:hAnsi="Verdana" w:cs="Arial"/>
                <w:i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5245" w:type="dxa"/>
          </w:tcPr>
          <w:p w:rsidR="008460B6" w:rsidRPr="001949F7" w:rsidDel="006D30E1" w:rsidRDefault="008460B6" w:rsidP="008D00AB">
            <w:pPr>
              <w:jc w:val="both"/>
              <w:rPr>
                <w:rFonts w:ascii="Verdana" w:hAnsi="Verdana"/>
                <w:sz w:val="20"/>
                <w:szCs w:val="24"/>
                <w:highlight w:val="yellow"/>
              </w:rPr>
            </w:pPr>
            <w:r w:rsidRPr="001949F7">
              <w:rPr>
                <w:rFonts w:ascii="Verdana" w:hAnsi="Verdana"/>
                <w:i/>
                <w:sz w:val="20"/>
              </w:rPr>
              <w:t>Γενικός έλεγχος λεβήτων και των ασφαλιστικών τους διατάξεων</w:t>
            </w:r>
            <w:r w:rsidRPr="001949F7" w:rsidDel="00BB04DD">
              <w:rPr>
                <w:rFonts w:ascii="Verdana" w:hAnsi="Verdana"/>
                <w:i/>
                <w:sz w:val="20"/>
                <w:highlight w:val="yellow"/>
              </w:rPr>
              <w:t xml:space="preserve"> </w:t>
            </w:r>
          </w:p>
        </w:tc>
        <w:tc>
          <w:tcPr>
            <w:tcW w:w="851" w:type="dxa"/>
          </w:tcPr>
          <w:p w:rsidR="008460B6" w:rsidRPr="00BB04DD" w:rsidRDefault="008460B6" w:rsidP="008D00AB">
            <w:pPr>
              <w:widowControl w:val="0"/>
              <w:spacing w:line="360" w:lineRule="auto"/>
              <w:ind w:firstLine="284"/>
              <w:jc w:val="center"/>
              <w:rPr>
                <w:rFonts w:ascii="Verdana" w:hAnsi="Verdana" w:cs="Arial"/>
                <w:i/>
                <w:szCs w:val="20"/>
              </w:rPr>
            </w:pPr>
            <w:r w:rsidRPr="00BB04DD">
              <w:rPr>
                <w:rFonts w:ascii="Verdana" w:hAnsi="Verdana" w:cs="Arial"/>
                <w:i/>
                <w:szCs w:val="20"/>
              </w:rPr>
              <w:t>ΝΑΙ</w:t>
            </w:r>
          </w:p>
        </w:tc>
        <w:tc>
          <w:tcPr>
            <w:tcW w:w="987" w:type="dxa"/>
          </w:tcPr>
          <w:p w:rsidR="008460B6" w:rsidRPr="00041378" w:rsidRDefault="008460B6" w:rsidP="008D00AB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8460B6" w:rsidRPr="00041378" w:rsidRDefault="008460B6" w:rsidP="008D00AB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  <w:tr w:rsidR="008460B6" w:rsidRPr="00041378" w:rsidTr="008D00AB">
        <w:tc>
          <w:tcPr>
            <w:tcW w:w="675" w:type="dxa"/>
          </w:tcPr>
          <w:p w:rsidR="008460B6" w:rsidRPr="00E16EB7" w:rsidRDefault="008460B6" w:rsidP="008D00AB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8460B6" w:rsidRPr="001949F7" w:rsidRDefault="008460B6" w:rsidP="008D00AB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Ε</w:t>
            </w:r>
            <w:r w:rsidRPr="00E16EB7">
              <w:rPr>
                <w:rFonts w:ascii="Verdana" w:hAnsi="Verdana"/>
                <w:i/>
                <w:sz w:val="20"/>
              </w:rPr>
              <w:t xml:space="preserve">νημέρωση των σχετικών βιβλίων μετρήσεων καυσαερίων όλων των εγκαταστάσεων με συνολική ισχύ μεγαλύτερη ή ίση των 400 </w:t>
            </w:r>
            <w:proofErr w:type="spellStart"/>
            <w:r w:rsidRPr="00E16EB7">
              <w:rPr>
                <w:rFonts w:ascii="Verdana" w:hAnsi="Verdana"/>
                <w:i/>
                <w:sz w:val="20"/>
              </w:rPr>
              <w:t>kW</w:t>
            </w:r>
            <w:proofErr w:type="spellEnd"/>
            <w:r w:rsidRPr="00E16EB7">
              <w:rPr>
                <w:rFonts w:ascii="Verdana" w:hAnsi="Verdana"/>
                <w:i/>
                <w:sz w:val="20"/>
              </w:rPr>
              <w:t>, όπου είναι θεωρημένα από την αρμόδια υπηρεσία της Περιφέρειας Αττικής.</w:t>
            </w:r>
          </w:p>
        </w:tc>
        <w:tc>
          <w:tcPr>
            <w:tcW w:w="851" w:type="dxa"/>
          </w:tcPr>
          <w:p w:rsidR="008460B6" w:rsidRPr="00BB04DD" w:rsidRDefault="008460B6" w:rsidP="008D00AB">
            <w:pPr>
              <w:widowControl w:val="0"/>
              <w:spacing w:line="360" w:lineRule="auto"/>
              <w:ind w:firstLine="284"/>
              <w:jc w:val="center"/>
              <w:rPr>
                <w:rFonts w:ascii="Verdana" w:hAnsi="Verdana" w:cs="Arial"/>
                <w:i/>
                <w:szCs w:val="20"/>
              </w:rPr>
            </w:pPr>
            <w:r>
              <w:rPr>
                <w:rFonts w:ascii="Verdana" w:hAnsi="Verdana" w:cs="Arial"/>
                <w:i/>
                <w:szCs w:val="20"/>
              </w:rPr>
              <w:t>ΝΑΙ</w:t>
            </w:r>
          </w:p>
        </w:tc>
        <w:tc>
          <w:tcPr>
            <w:tcW w:w="987" w:type="dxa"/>
          </w:tcPr>
          <w:p w:rsidR="008460B6" w:rsidRPr="00041378" w:rsidRDefault="008460B6" w:rsidP="008D00AB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8460B6" w:rsidRPr="00041378" w:rsidRDefault="008460B6" w:rsidP="008D00AB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</w:tbl>
    <w:p w:rsidR="008460B6" w:rsidRDefault="008460B6" w:rsidP="008460B6">
      <w:pPr>
        <w:jc w:val="center"/>
        <w:rPr>
          <w:rFonts w:ascii="Verdana" w:hAnsi="Verdana"/>
          <w:b/>
          <w:i/>
          <w:color w:val="000000"/>
          <w:sz w:val="20"/>
          <w:szCs w:val="20"/>
        </w:rPr>
      </w:pPr>
    </w:p>
    <w:p w:rsidR="008460B6" w:rsidRDefault="008460B6" w:rsidP="008460B6">
      <w:pPr>
        <w:jc w:val="center"/>
        <w:rPr>
          <w:rFonts w:ascii="Verdana" w:hAnsi="Verdana"/>
          <w:b/>
          <w:i/>
          <w:color w:val="000000"/>
          <w:sz w:val="20"/>
          <w:szCs w:val="20"/>
        </w:rPr>
      </w:pPr>
    </w:p>
    <w:p w:rsidR="008460B6" w:rsidRDefault="008460B6" w:rsidP="008460B6">
      <w:pPr>
        <w:jc w:val="center"/>
        <w:rPr>
          <w:rFonts w:ascii="Verdana" w:hAnsi="Verdana"/>
          <w:b/>
          <w:i/>
          <w:color w:val="000000"/>
          <w:sz w:val="20"/>
          <w:szCs w:val="20"/>
        </w:rPr>
      </w:pPr>
    </w:p>
    <w:p w:rsidR="008460B6" w:rsidRPr="00345486" w:rsidRDefault="008460B6" w:rsidP="008460B6">
      <w:pPr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345486">
        <w:rPr>
          <w:rFonts w:ascii="Verdana" w:hAnsi="Verdana"/>
          <w:b/>
          <w:i/>
          <w:color w:val="000000"/>
          <w:sz w:val="20"/>
          <w:szCs w:val="20"/>
        </w:rPr>
        <w:t>Σφραγίδα και υπογραφή του συμμετέχοντα στο Διαγωνισμό</w:t>
      </w:r>
    </w:p>
    <w:p w:rsidR="008460B6" w:rsidRDefault="008460B6"/>
    <w:p w:rsidR="008460B6" w:rsidRDefault="008460B6"/>
    <w:sectPr w:rsidR="008460B6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60B6"/>
    <w:rsid w:val="00565424"/>
    <w:rsid w:val="006F2BF3"/>
    <w:rsid w:val="00790D6E"/>
    <w:rsid w:val="008460B6"/>
    <w:rsid w:val="00A9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B6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2657</Characters>
  <Application>Microsoft Office Word</Application>
  <DocSecurity>0</DocSecurity>
  <Lines>22</Lines>
  <Paragraphs>6</Paragraphs>
  <ScaleCrop>false</ScaleCrop>
  <Company>Grizli777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2017-06-29T13:06:00Z</dcterms:created>
  <dcterms:modified xsi:type="dcterms:W3CDTF">2017-06-29T13:07:00Z</dcterms:modified>
</cp:coreProperties>
</file>